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0"/>
        <w:jc w:val="center"/>
        <w:rPr>
          <w:rFonts w:ascii="Calibri" w:hAnsi="Calibri" w:cs="Calibri"/>
          <w:i w:val="0"/>
          <w:caps w:val="0"/>
          <w:color w:val="000000"/>
          <w:spacing w:val="0"/>
          <w:sz w:val="21"/>
          <w:szCs w:val="21"/>
        </w:rPr>
      </w:pPr>
      <w:r>
        <w:rPr>
          <w:rFonts w:ascii="方正小标宋简体" w:hAnsi="方正小标宋简体" w:eastAsia="方正小标宋简体" w:cs="方正小标宋简体"/>
          <w:i w:val="0"/>
          <w:caps w:val="0"/>
          <w:color w:val="000000"/>
          <w:spacing w:val="0"/>
          <w:sz w:val="44"/>
          <w:szCs w:val="44"/>
          <w:bdr w:val="none" w:color="auto" w:sz="0" w:space="0"/>
          <w:shd w:val="clear" w:fill="FFFFFF"/>
        </w:rPr>
        <w:t>甘肃省房屋建筑和市政基础设施工程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0"/>
        <w:jc w:val="center"/>
        <w:rPr>
          <w:rFonts w:hint="default" w:ascii="Calibri" w:hAnsi="Calibri" w:cs="Calibri"/>
          <w:i w:val="0"/>
          <w:caps w:val="0"/>
          <w:color w:val="000000"/>
          <w:spacing w:val="0"/>
          <w:sz w:val="21"/>
          <w:szCs w:val="21"/>
        </w:rPr>
      </w:pPr>
      <w:r>
        <w:rPr>
          <w:rFonts w:hint="eastAsia" w:ascii="方正小标宋简体" w:hAnsi="方正小标宋简体" w:eastAsia="方正小标宋简体" w:cs="方正小标宋简体"/>
          <w:i w:val="0"/>
          <w:caps w:val="0"/>
          <w:color w:val="000000"/>
          <w:spacing w:val="0"/>
          <w:sz w:val="44"/>
          <w:szCs w:val="44"/>
          <w:bdr w:val="none" w:color="auto" w:sz="0" w:space="0"/>
          <w:shd w:val="clear" w:fill="FFFFFF"/>
        </w:rPr>
        <w:t>勘察招标评标定标办法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0"/>
        <w:jc w:val="both"/>
        <w:rPr>
          <w:rFonts w:hint="default" w:ascii="Calibri" w:hAnsi="Calibri" w:cs="Calibri"/>
          <w:i w:val="0"/>
          <w:caps w:val="0"/>
          <w:color w:val="000000"/>
          <w:spacing w:val="0"/>
          <w:sz w:val="21"/>
          <w:szCs w:val="21"/>
        </w:rPr>
      </w:pPr>
      <w:r>
        <w:rPr>
          <w:rFonts w:ascii="仿宋" w:hAnsi="仿宋" w:eastAsia="仿宋" w:cs="仿宋"/>
          <w:i w:val="0"/>
          <w:caps w:val="0"/>
          <w:color w:val="000000"/>
          <w:spacing w:val="0"/>
          <w:sz w:val="32"/>
          <w:szCs w:val="32"/>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ascii="黑体" w:hAnsi="宋体" w:eastAsia="黑体" w:cs="黑体"/>
          <w:i w:val="0"/>
          <w:caps w:val="0"/>
          <w:color w:val="000000"/>
          <w:spacing w:val="0"/>
          <w:sz w:val="32"/>
          <w:szCs w:val="32"/>
          <w:bdr w:val="none" w:color="auto" w:sz="0" w:space="0"/>
          <w:shd w:val="clear" w:fill="FFFFFF"/>
        </w:rPr>
        <w:t>第一条</w:t>
      </w:r>
      <w:r>
        <w:rPr>
          <w:rFonts w:hint="eastAsia" w:ascii="仿宋" w:hAnsi="仿宋" w:eastAsia="仿宋" w:cs="仿宋"/>
          <w:i w:val="0"/>
          <w:caps w:val="0"/>
          <w:color w:val="000000"/>
          <w:spacing w:val="0"/>
          <w:sz w:val="32"/>
          <w:szCs w:val="32"/>
          <w:bdr w:val="none" w:color="auto" w:sz="0" w:space="0"/>
          <w:shd w:val="clear" w:fill="FFFFFF"/>
        </w:rPr>
        <w:t>  为规范我省房屋建筑和市政基础设施项目工程勘察招标投标活动，依据《中华人民共和国招标投标法》、《中华人民共和国招标投标法实施条例》、《工程建设项目勘察设计招标投标办法》（八部委2号令）等相关法律法规规章和《住房和城乡建设部关于进一步加强房屋建筑和市政基础设施工程招标投标监管的指导意见》（建市规〔2019〕11号）规定，结合本省实际情况，制定本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黑体" w:hAnsi="宋体" w:eastAsia="黑体" w:cs="黑体"/>
          <w:i w:val="0"/>
          <w:caps w:val="0"/>
          <w:color w:val="000000"/>
          <w:spacing w:val="0"/>
          <w:sz w:val="32"/>
          <w:szCs w:val="32"/>
          <w:bdr w:val="none" w:color="auto" w:sz="0" w:space="0"/>
          <w:shd w:val="clear" w:fill="FFFFFF"/>
        </w:rPr>
        <w:t>第二条</w:t>
      </w:r>
      <w:r>
        <w:rPr>
          <w:rFonts w:hint="eastAsia" w:ascii="仿宋" w:hAnsi="仿宋" w:eastAsia="仿宋" w:cs="仿宋"/>
          <w:i w:val="0"/>
          <w:caps w:val="0"/>
          <w:color w:val="000000"/>
          <w:spacing w:val="0"/>
          <w:sz w:val="32"/>
          <w:szCs w:val="32"/>
          <w:bdr w:val="none" w:color="auto" w:sz="0" w:space="0"/>
          <w:shd w:val="clear" w:fill="FFFFFF"/>
        </w:rPr>
        <w:t>  凡本省区域内房屋建筑和市政基础设施项目工程的勘察招标评标定标活动适用本办法。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黑体" w:hAnsi="宋体" w:eastAsia="黑体" w:cs="黑体"/>
          <w:i w:val="0"/>
          <w:caps w:val="0"/>
          <w:color w:val="000000"/>
          <w:spacing w:val="0"/>
          <w:sz w:val="32"/>
          <w:szCs w:val="32"/>
          <w:bdr w:val="none" w:color="auto" w:sz="0" w:space="0"/>
          <w:shd w:val="clear" w:fill="FFFFFF"/>
        </w:rPr>
        <w:t>第三条</w:t>
      </w:r>
      <w:r>
        <w:rPr>
          <w:rFonts w:hint="eastAsia" w:ascii="仿宋" w:hAnsi="仿宋" w:eastAsia="仿宋" w:cs="仿宋"/>
          <w:i w:val="0"/>
          <w:caps w:val="0"/>
          <w:color w:val="000000"/>
          <w:spacing w:val="0"/>
          <w:sz w:val="32"/>
          <w:szCs w:val="32"/>
          <w:bdr w:val="none" w:color="auto" w:sz="0" w:space="0"/>
          <w:shd w:val="clear" w:fill="FFFFFF"/>
        </w:rPr>
        <w:t>  开标前，投标人有下列情形之一的，招标人不予受理：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（一）投标文件逾期送达；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（二）投标文件未按招标文件要求密封。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黑体" w:hAnsi="宋体" w:eastAsia="黑体" w:cs="黑体"/>
          <w:i w:val="0"/>
          <w:caps w:val="0"/>
          <w:color w:val="000000"/>
          <w:spacing w:val="0"/>
          <w:sz w:val="32"/>
          <w:szCs w:val="32"/>
          <w:bdr w:val="none" w:color="auto" w:sz="0" w:space="0"/>
          <w:shd w:val="clear" w:fill="FFFFFF"/>
        </w:rPr>
        <w:t>第四条</w:t>
      </w:r>
      <w:r>
        <w:rPr>
          <w:rFonts w:hint="eastAsia" w:ascii="仿宋" w:hAnsi="仿宋" w:eastAsia="仿宋" w:cs="仿宋"/>
          <w:i w:val="0"/>
          <w:caps w:val="0"/>
          <w:color w:val="000000"/>
          <w:spacing w:val="0"/>
          <w:sz w:val="32"/>
          <w:szCs w:val="32"/>
          <w:bdr w:val="none" w:color="auto" w:sz="0" w:space="0"/>
          <w:shd w:val="clear" w:fill="FFFFFF"/>
        </w:rPr>
        <w:t>  勘察招标评标定标工作应由招标人负责组织，任何单位和个人不得非法干预、影响评标过程及结果。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黑体" w:hAnsi="宋体" w:eastAsia="黑体" w:cs="黑体"/>
          <w:i w:val="0"/>
          <w:caps w:val="0"/>
          <w:color w:val="000000"/>
          <w:spacing w:val="0"/>
          <w:sz w:val="32"/>
          <w:szCs w:val="32"/>
          <w:bdr w:val="none" w:color="auto" w:sz="0" w:space="0"/>
          <w:shd w:val="clear" w:fill="FFFFFF"/>
        </w:rPr>
        <w:t>第五条</w:t>
      </w:r>
      <w:r>
        <w:rPr>
          <w:rFonts w:hint="eastAsia" w:ascii="仿宋" w:hAnsi="仿宋" w:eastAsia="仿宋" w:cs="仿宋"/>
          <w:i w:val="0"/>
          <w:caps w:val="0"/>
          <w:color w:val="000000"/>
          <w:spacing w:val="0"/>
          <w:sz w:val="32"/>
          <w:szCs w:val="32"/>
          <w:bdr w:val="none" w:color="auto" w:sz="0" w:space="0"/>
          <w:shd w:val="clear" w:fill="FFFFFF"/>
        </w:rPr>
        <w:t>  招标人应当根据工程特点和需要依法组建评标委员会。评标委员会人数为5人以上单数，其中技术、经济等方面的专家不得少于成员总数的三分之二。评标委员会的专家成员应当从评标专家库内相关专业的专家名单中以随机抽取方式确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评标委员会成员与投标人有利害关系的，应当主动回避。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黑体" w:hAnsi="宋体" w:eastAsia="黑体" w:cs="黑体"/>
          <w:i w:val="0"/>
          <w:caps w:val="0"/>
          <w:color w:val="000000"/>
          <w:spacing w:val="0"/>
          <w:sz w:val="32"/>
          <w:szCs w:val="32"/>
          <w:bdr w:val="none" w:color="auto" w:sz="0" w:space="0"/>
          <w:shd w:val="clear" w:fill="FFFFFF"/>
        </w:rPr>
        <w:t>第六条</w:t>
      </w:r>
      <w:r>
        <w:rPr>
          <w:rFonts w:hint="eastAsia" w:ascii="仿宋" w:hAnsi="仿宋" w:eastAsia="仿宋" w:cs="仿宋"/>
          <w:i w:val="0"/>
          <w:caps w:val="0"/>
          <w:color w:val="000000"/>
          <w:spacing w:val="0"/>
          <w:sz w:val="32"/>
          <w:szCs w:val="32"/>
          <w:bdr w:val="none" w:color="auto" w:sz="0" w:space="0"/>
          <w:shd w:val="clear" w:fill="FFFFFF"/>
        </w:rPr>
        <w:t>  勘察项目招标，招标人可采用资格预审或资格后审方式对投标人资格进行审查。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黑体" w:hAnsi="宋体" w:eastAsia="黑体" w:cs="黑体"/>
          <w:i w:val="0"/>
          <w:caps w:val="0"/>
          <w:color w:val="000000"/>
          <w:spacing w:val="0"/>
          <w:sz w:val="32"/>
          <w:szCs w:val="32"/>
          <w:bdr w:val="none" w:color="auto" w:sz="0" w:space="0"/>
          <w:shd w:val="clear" w:fill="FFFFFF"/>
        </w:rPr>
        <w:t>第七条</w:t>
      </w:r>
      <w:r>
        <w:rPr>
          <w:rFonts w:hint="eastAsia" w:ascii="仿宋" w:hAnsi="仿宋" w:eastAsia="仿宋" w:cs="仿宋"/>
          <w:i w:val="0"/>
          <w:caps w:val="0"/>
          <w:color w:val="000000"/>
          <w:spacing w:val="0"/>
          <w:sz w:val="32"/>
          <w:szCs w:val="32"/>
          <w:bdr w:val="none" w:color="auto" w:sz="0" w:space="0"/>
          <w:shd w:val="clear" w:fill="FFFFFF"/>
        </w:rPr>
        <w:t>  资格审查，评标委员会首先对投标人进行资格审查。资格审查合格的投标人进入初步评审，初步评审合格的投标人进入详细评审。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经资格审查不合格、初步评审不合格的投标人的投标应作否决投标处理。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黑体" w:hAnsi="宋体" w:eastAsia="黑体" w:cs="黑体"/>
          <w:i w:val="0"/>
          <w:caps w:val="0"/>
          <w:color w:val="000000"/>
          <w:spacing w:val="0"/>
          <w:sz w:val="32"/>
          <w:szCs w:val="32"/>
          <w:bdr w:val="none" w:color="auto" w:sz="0" w:space="0"/>
          <w:shd w:val="clear" w:fill="FFFFFF"/>
        </w:rPr>
        <w:t>第八条</w:t>
      </w:r>
      <w:r>
        <w:rPr>
          <w:rFonts w:hint="eastAsia" w:ascii="仿宋" w:hAnsi="仿宋" w:eastAsia="仿宋" w:cs="仿宋"/>
          <w:i w:val="0"/>
          <w:caps w:val="0"/>
          <w:color w:val="000000"/>
          <w:spacing w:val="0"/>
          <w:sz w:val="32"/>
          <w:szCs w:val="32"/>
          <w:bdr w:val="none" w:color="auto" w:sz="0" w:space="0"/>
          <w:shd w:val="clear" w:fill="FFFFFF"/>
        </w:rPr>
        <w:t>  投标人不具有独立订立合同的资格，或投标人的投标文件未响应招标文件的实质性要求的，资格审查不合格。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黑体" w:hAnsi="宋体" w:eastAsia="黑体" w:cs="黑体"/>
          <w:i w:val="0"/>
          <w:caps w:val="0"/>
          <w:color w:val="000000"/>
          <w:spacing w:val="0"/>
          <w:sz w:val="32"/>
          <w:szCs w:val="32"/>
          <w:bdr w:val="none" w:color="auto" w:sz="0" w:space="0"/>
          <w:shd w:val="clear" w:fill="FFFFFF"/>
        </w:rPr>
        <w:t>第九条</w:t>
      </w:r>
      <w:r>
        <w:rPr>
          <w:rFonts w:hint="eastAsia" w:ascii="仿宋" w:hAnsi="仿宋" w:eastAsia="仿宋" w:cs="仿宋"/>
          <w:i w:val="0"/>
          <w:caps w:val="0"/>
          <w:color w:val="000000"/>
          <w:spacing w:val="0"/>
          <w:sz w:val="32"/>
          <w:szCs w:val="32"/>
          <w:bdr w:val="none" w:color="auto" w:sz="0" w:space="0"/>
          <w:shd w:val="clear" w:fill="FFFFFF"/>
        </w:rPr>
        <w:t>  投标人有下列情形之一的，初步评审不合格：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（一）投标人名称与营业执照、资质证书不一致；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（二）投标函无单位盖章且无法定代表人或其委托代理人签字或盖章的；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（三）投标文件格式不符合招标文件的要求；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（四）投标联合体没有提交共同投标协议；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（五）同一投标人提交两个以上不同的投标文件或者投标报价，但招标文件要求提交备选投标的除外；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（六）投标人的投标报价不满足招标文件的要求；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（七）投标人的投标内容不满足招标文件的要求；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（八）投标人的投标有效期不满足招标文件的要求；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（九）投标人的投标保证金不满足招标文件的要求；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（十）不符合招标文件中规定的其他实质性要求；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（十一）投标文件附有招标人不能接受的条件；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（十二）法律法规规章规定的其他情形。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黑体" w:hAnsi="宋体" w:eastAsia="黑体" w:cs="黑体"/>
          <w:i w:val="0"/>
          <w:caps w:val="0"/>
          <w:color w:val="000000"/>
          <w:spacing w:val="0"/>
          <w:sz w:val="32"/>
          <w:szCs w:val="32"/>
          <w:bdr w:val="none" w:color="auto" w:sz="0" w:space="0"/>
          <w:shd w:val="clear" w:fill="FFFFFF"/>
        </w:rPr>
        <w:t>第十条</w:t>
      </w:r>
      <w:r>
        <w:rPr>
          <w:rFonts w:hint="eastAsia" w:ascii="仿宋" w:hAnsi="仿宋" w:eastAsia="仿宋" w:cs="仿宋"/>
          <w:i w:val="0"/>
          <w:caps w:val="0"/>
          <w:color w:val="000000"/>
          <w:spacing w:val="0"/>
          <w:sz w:val="32"/>
          <w:szCs w:val="32"/>
          <w:bdr w:val="none" w:color="auto" w:sz="0" w:space="0"/>
          <w:shd w:val="clear" w:fill="FFFFFF"/>
        </w:rPr>
        <w:t>  招标人编制的招标文件应当包括招标项目的技术要求、对投标人资格审查的标准、投标报价要求和评标标准等所有实质性要求、条件以及拟签订合同的主要条款。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招标文件中的评标标准可以按照本办法规定的量化因素和分值确定，由评标委员会按照招标文件确定的评标标准和方法进行打分，并计算出进入详细评审的每个投标人的综合评估得分。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黑体" w:hAnsi="宋体" w:eastAsia="黑体" w:cs="黑体"/>
          <w:i w:val="0"/>
          <w:caps w:val="0"/>
          <w:color w:val="000000"/>
          <w:spacing w:val="0"/>
          <w:sz w:val="32"/>
          <w:szCs w:val="32"/>
          <w:bdr w:val="none" w:color="auto" w:sz="0" w:space="0"/>
          <w:shd w:val="clear" w:fill="FFFFFF"/>
        </w:rPr>
        <w:t>第十一条</w:t>
      </w:r>
      <w:r>
        <w:rPr>
          <w:rFonts w:hint="eastAsia" w:ascii="仿宋" w:hAnsi="仿宋" w:eastAsia="仿宋" w:cs="仿宋"/>
          <w:i w:val="0"/>
          <w:caps w:val="0"/>
          <w:color w:val="000000"/>
          <w:spacing w:val="0"/>
          <w:sz w:val="32"/>
          <w:szCs w:val="32"/>
          <w:bdr w:val="none" w:color="auto" w:sz="0" w:space="0"/>
          <w:shd w:val="clear" w:fill="FFFFFF"/>
        </w:rPr>
        <w:t>  投标人的综合评估分值构成与评分标准：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（一）投标人得分由投标报价得分、资信业绩得分、技术标得分组成，分值分布为30分、20分、50分，总分100分。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（二）评分标准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1.投标报价评标基准价计算方法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通过资格审查和初步评审后的投标人的报价为有效报价。有效报价去掉一个最高价、去掉一个最低价后的算术平均值为评标基准价。当有效报价为3家时，则3家有效报价的算术平均值为评标基准价。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2.投标报价的偏差率计算公式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偏差率=100%×（投标人报价-评标基准价）/评标基准价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640"/>
        <w:jc w:val="both"/>
        <w:rPr>
          <w:rFonts w:hint="default" w:ascii="Calibri" w:hAnsi="Calibri" w:cs="Calibri"/>
          <w:i w:val="0"/>
          <w:caps w:val="0"/>
          <w:color w:val="000000"/>
          <w:spacing w:val="0"/>
          <w:sz w:val="21"/>
          <w:szCs w:val="21"/>
        </w:rPr>
      </w:pPr>
      <w:r>
        <w:rPr>
          <w:rFonts w:hint="eastAsia" w:ascii="仿宋" w:hAnsi="仿宋" w:eastAsia="仿宋" w:cs="仿宋"/>
          <w:i w:val="0"/>
          <w:caps w:val="0"/>
          <w:color w:val="000000"/>
          <w:spacing w:val="0"/>
          <w:sz w:val="32"/>
          <w:szCs w:val="32"/>
          <w:bdr w:val="none" w:color="auto" w:sz="0" w:space="0"/>
          <w:shd w:val="clear" w:fill="FFFFFF"/>
        </w:rPr>
        <w:t>3.投标报价评分标准（30分）</w:t>
      </w:r>
    </w:p>
    <w:tbl>
      <w:tblPr>
        <w:tblpPr w:vertAnchor="text" w:tblpXSpec="left"/>
        <w:tblW w:w="1572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2275"/>
        <w:gridCol w:w="13445"/>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trHeight w:val="570" w:hRule="atLeast"/>
        </w:trPr>
        <w:tc>
          <w:tcPr>
            <w:tcW w:w="2275"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黑体" w:hAnsi="宋体" w:eastAsia="黑体" w:cs="黑体"/>
                <w:i w:val="0"/>
                <w:caps w:val="0"/>
                <w:color w:val="575757"/>
                <w:spacing w:val="0"/>
                <w:sz w:val="24"/>
                <w:szCs w:val="24"/>
                <w:bdr w:val="none" w:color="auto" w:sz="0" w:space="0"/>
              </w:rPr>
              <w:t>评分项目</w:t>
            </w:r>
          </w:p>
        </w:tc>
        <w:tc>
          <w:tcPr>
            <w:tcW w:w="13445"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黑体" w:hAnsi="宋体" w:eastAsia="黑体" w:cs="黑体"/>
                <w:i w:val="0"/>
                <w:caps w:val="0"/>
                <w:color w:val="575757"/>
                <w:spacing w:val="0"/>
                <w:sz w:val="24"/>
                <w:szCs w:val="24"/>
                <w:bdr w:val="none" w:color="auto" w:sz="0" w:space="0"/>
              </w:rPr>
              <w:t>评分标准</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915" w:hRule="atLeast"/>
        </w:trPr>
        <w:tc>
          <w:tcPr>
            <w:tcW w:w="227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i w:val="0"/>
                <w:caps w:val="0"/>
                <w:color w:val="575757"/>
                <w:spacing w:val="0"/>
                <w:sz w:val="24"/>
                <w:szCs w:val="24"/>
                <w:bdr w:val="none" w:color="auto" w:sz="0" w:space="0"/>
              </w:rPr>
              <w:t>投标报价</w:t>
            </w:r>
          </w:p>
        </w:tc>
        <w:tc>
          <w:tcPr>
            <w:tcW w:w="13445"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i w:val="0"/>
                <w:caps w:val="0"/>
                <w:color w:val="575757"/>
                <w:spacing w:val="0"/>
                <w:sz w:val="24"/>
                <w:szCs w:val="24"/>
                <w:bdr w:val="none" w:color="auto" w:sz="0" w:space="0"/>
              </w:rPr>
              <w:t>等于评标基准价的有效报价得满分；与评标基准价相比，其有效报价每增加1%，扣1分，每减少1%，扣0.5分。</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585" w:hRule="atLeast"/>
        </w:trPr>
        <w:tc>
          <w:tcPr>
            <w:tcW w:w="15720"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i w:val="0"/>
                <w:caps w:val="0"/>
                <w:color w:val="575757"/>
                <w:spacing w:val="0"/>
                <w:sz w:val="24"/>
                <w:szCs w:val="24"/>
                <w:bdr w:val="none" w:color="auto" w:sz="0" w:space="0"/>
              </w:rPr>
              <w:t>注：偏离不足1%的，按照插入法计算得分，结果四舍五入保留2位小数。</w:t>
            </w:r>
          </w:p>
        </w:tc>
      </w:tr>
    </w:tbl>
    <w:p>
      <w:pPr>
        <w:keepNext w:val="0"/>
        <w:keepLines w:val="0"/>
        <w:widowControl/>
        <w:suppressLineNumbers w:val="0"/>
        <w:jc w:val="left"/>
      </w:pPr>
      <w:r>
        <w:rPr>
          <w:rFonts w:hint="eastAsia" w:ascii="仿宋" w:hAnsi="仿宋" w:eastAsia="仿宋" w:cs="仿宋"/>
          <w:i w:val="0"/>
          <w:caps w:val="0"/>
          <w:color w:val="000000"/>
          <w:spacing w:val="0"/>
          <w:kern w:val="0"/>
          <w:sz w:val="32"/>
          <w:szCs w:val="32"/>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ascii="微软雅黑" w:hAnsi="微软雅黑" w:eastAsia="微软雅黑" w:cs="微软雅黑"/>
          <w:i w:val="0"/>
          <w:caps w:val="0"/>
          <w:color w:val="000000"/>
          <w:spacing w:val="0"/>
          <w:sz w:val="24"/>
          <w:szCs w:val="24"/>
        </w:rPr>
      </w:pPr>
      <w:r>
        <w:rPr>
          <w:rFonts w:hint="eastAsia" w:ascii="仿宋" w:hAnsi="仿宋" w:eastAsia="仿宋" w:cs="仿宋"/>
          <w:i w:val="0"/>
          <w:caps w:val="0"/>
          <w:color w:val="000000"/>
          <w:spacing w:val="0"/>
          <w:kern w:val="0"/>
          <w:sz w:val="32"/>
          <w:szCs w:val="32"/>
          <w:bdr w:val="none" w:color="auto" w:sz="0" w:space="0"/>
          <w:shd w:val="clear" w:fill="FFFFFF"/>
          <w:lang w:val="en-US" w:eastAsia="zh-CN" w:bidi="ar"/>
        </w:rPr>
        <w:t>    4.资信业绩得分标准（20分）</w:t>
      </w:r>
    </w:p>
    <w:tbl>
      <w:tblPr>
        <w:tblW w:w="15720" w:type="dxa"/>
        <w:jc w:val="center"/>
        <w:tblInd w:w="-3599"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343"/>
        <w:gridCol w:w="2560"/>
        <w:gridCol w:w="10409"/>
        <w:gridCol w:w="1408"/>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567" w:hRule="atLeast"/>
          <w:jc w:val="center"/>
        </w:trPr>
        <w:tc>
          <w:tcPr>
            <w:tcW w:w="3903" w:type="dxa"/>
            <w:gridSpan w:val="2"/>
            <w:tcBorders>
              <w:top w:val="single" w:color="000000" w:sz="8" w:space="0"/>
              <w:left w:val="single" w:color="000000" w:sz="8" w:space="0"/>
              <w:bottom w:val="nil"/>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黑体" w:hAnsi="宋体" w:eastAsia="黑体" w:cs="黑体"/>
                <w:color w:val="575757"/>
                <w:sz w:val="24"/>
                <w:szCs w:val="24"/>
                <w:bdr w:val="none" w:color="auto" w:sz="0" w:space="0"/>
              </w:rPr>
              <w:t>评分项目</w:t>
            </w:r>
          </w:p>
        </w:tc>
        <w:tc>
          <w:tcPr>
            <w:tcW w:w="10409"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黑体" w:hAnsi="宋体" w:eastAsia="黑体" w:cs="黑体"/>
                <w:color w:val="575757"/>
                <w:sz w:val="24"/>
                <w:szCs w:val="24"/>
                <w:bdr w:val="none" w:color="auto" w:sz="0" w:space="0"/>
              </w:rPr>
              <w:t>评分标准</w:t>
            </w:r>
          </w:p>
        </w:tc>
        <w:tc>
          <w:tcPr>
            <w:tcW w:w="1408"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黑体" w:hAnsi="宋体" w:eastAsia="黑体" w:cs="黑体"/>
                <w:color w:val="575757"/>
                <w:sz w:val="24"/>
                <w:szCs w:val="24"/>
                <w:bdr w:val="none" w:color="auto" w:sz="0" w:space="0"/>
              </w:rPr>
              <w:t>得分</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849" w:hRule="atLeast"/>
          <w:jc w:val="center"/>
        </w:trPr>
        <w:tc>
          <w:tcPr>
            <w:tcW w:w="1343" w:type="dxa"/>
            <w:vMerge w:val="restart"/>
            <w:tcBorders>
              <w:top w:val="single" w:color="000000" w:sz="8" w:space="0"/>
              <w:left w:val="single" w:color="000000"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both"/>
              <w:rPr>
                <w:rFonts w:hint="default" w:ascii="Calibri" w:hAnsi="Calibri" w:cs="Calibri"/>
                <w:sz w:val="21"/>
                <w:szCs w:val="21"/>
              </w:rPr>
            </w:pPr>
            <w:r>
              <w:rPr>
                <w:rFonts w:hint="eastAsia" w:ascii="宋体" w:hAnsi="宋体" w:eastAsia="宋体" w:cs="宋体"/>
                <w:color w:val="575757"/>
                <w:sz w:val="24"/>
                <w:szCs w:val="24"/>
                <w:bdr w:val="none" w:color="auto" w:sz="0" w:space="0"/>
              </w:rPr>
              <w:t>资信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both"/>
              <w:rPr>
                <w:rFonts w:hint="default" w:ascii="Calibri" w:hAnsi="Calibri" w:cs="Calibri"/>
                <w:sz w:val="21"/>
                <w:szCs w:val="21"/>
              </w:rPr>
            </w:pPr>
            <w:r>
              <w:rPr>
                <w:rFonts w:hint="eastAsia" w:ascii="宋体" w:hAnsi="宋体" w:eastAsia="宋体" w:cs="宋体"/>
                <w:color w:val="575757"/>
                <w:sz w:val="24"/>
                <w:szCs w:val="24"/>
                <w:bdr w:val="none" w:color="auto" w:sz="0" w:space="0"/>
              </w:rPr>
              <w:t>业绩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both"/>
              <w:rPr>
                <w:rFonts w:hint="default" w:ascii="Calibri" w:hAnsi="Calibri" w:cs="Calibri"/>
                <w:sz w:val="21"/>
                <w:szCs w:val="21"/>
              </w:rPr>
            </w:pPr>
            <w:r>
              <w:rPr>
                <w:rFonts w:hint="eastAsia" w:ascii="宋体" w:hAnsi="宋体" w:eastAsia="宋体" w:cs="宋体"/>
                <w:color w:val="575757"/>
                <w:sz w:val="24"/>
                <w:szCs w:val="24"/>
                <w:bdr w:val="none" w:color="auto" w:sz="0" w:space="0"/>
              </w:rPr>
              <w:t>20分</w:t>
            </w:r>
          </w:p>
        </w:tc>
        <w:tc>
          <w:tcPr>
            <w:tcW w:w="2560"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以往业绩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(6分)</w:t>
            </w:r>
          </w:p>
        </w:tc>
        <w:tc>
          <w:tcPr>
            <w:tcW w:w="10409"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both"/>
              <w:rPr>
                <w:rFonts w:hint="default" w:ascii="Calibri" w:hAnsi="Calibri" w:cs="Calibri"/>
                <w:sz w:val="21"/>
                <w:szCs w:val="21"/>
              </w:rPr>
            </w:pPr>
            <w:r>
              <w:rPr>
                <w:rFonts w:hint="eastAsia" w:ascii="宋体" w:hAnsi="宋体" w:eastAsia="宋体" w:cs="宋体"/>
                <w:color w:val="575757"/>
                <w:sz w:val="24"/>
                <w:szCs w:val="24"/>
                <w:bdr w:val="none" w:color="auto" w:sz="0" w:space="0"/>
              </w:rPr>
              <w:t>投标人近三年内承担过一项同等级或以上工程勘察项目得2分，每增加一项得2分，最高得6分。</w:t>
            </w:r>
          </w:p>
        </w:tc>
        <w:tc>
          <w:tcPr>
            <w:tcW w:w="1408"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both"/>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1164" w:hRule="atLeast"/>
          <w:jc w:val="center"/>
        </w:trPr>
        <w:tc>
          <w:tcPr>
            <w:tcW w:w="1343" w:type="dxa"/>
            <w:vMerge w:val="continue"/>
            <w:tcBorders>
              <w:top w:val="single" w:color="000000" w:sz="8" w:space="0"/>
              <w:left w:val="single" w:color="000000" w:sz="8" w:space="0"/>
              <w:bottom w:val="single" w:color="auto" w:sz="8" w:space="0"/>
              <w:right w:val="single" w:color="auto" w:sz="8" w:space="0"/>
            </w:tcBorders>
            <w:shd w:val="clear"/>
            <w:tcMar>
              <w:left w:w="108" w:type="dxa"/>
              <w:right w:w="108" w:type="dxa"/>
            </w:tcMar>
            <w:vAlign w:val="center"/>
          </w:tcPr>
          <w:p>
            <w:pPr>
              <w:rPr>
                <w:rFonts w:hint="eastAsia" w:ascii="微软雅黑" w:hAnsi="微软雅黑" w:eastAsia="微软雅黑" w:cs="微软雅黑"/>
                <w:color w:val="575757"/>
                <w:sz w:val="18"/>
                <w:szCs w:val="18"/>
              </w:rPr>
            </w:pPr>
          </w:p>
        </w:tc>
        <w:tc>
          <w:tcPr>
            <w:tcW w:w="256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项目负责人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（8分）</w:t>
            </w:r>
          </w:p>
        </w:tc>
        <w:tc>
          <w:tcPr>
            <w:tcW w:w="10409"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both"/>
              <w:rPr>
                <w:rFonts w:hint="default" w:ascii="Calibri" w:hAnsi="Calibri" w:cs="Calibri"/>
                <w:sz w:val="21"/>
                <w:szCs w:val="21"/>
              </w:rPr>
            </w:pPr>
            <w:r>
              <w:rPr>
                <w:rFonts w:hint="eastAsia" w:ascii="宋体" w:hAnsi="宋体" w:eastAsia="宋体" w:cs="宋体"/>
                <w:color w:val="575757"/>
                <w:sz w:val="24"/>
                <w:szCs w:val="24"/>
                <w:bdr w:val="none" w:color="auto" w:sz="0" w:space="0"/>
              </w:rPr>
              <w:t>投标人拟派的勘察项目负责人具有一项同等级或以上工程勘察项目得2分，每增加一项得2分，最高得6分。具有高级职称的加2分。</w:t>
            </w:r>
          </w:p>
        </w:tc>
        <w:tc>
          <w:tcPr>
            <w:tcW w:w="1408"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both"/>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1227" w:hRule="atLeast"/>
          <w:jc w:val="center"/>
        </w:trPr>
        <w:tc>
          <w:tcPr>
            <w:tcW w:w="1343" w:type="dxa"/>
            <w:vMerge w:val="continue"/>
            <w:tcBorders>
              <w:top w:val="single" w:color="000000" w:sz="8" w:space="0"/>
              <w:left w:val="single" w:color="000000" w:sz="8" w:space="0"/>
              <w:bottom w:val="single" w:color="auto" w:sz="8" w:space="0"/>
              <w:right w:val="single" w:color="auto" w:sz="8" w:space="0"/>
            </w:tcBorders>
            <w:shd w:val="clear"/>
            <w:tcMar>
              <w:left w:w="108" w:type="dxa"/>
              <w:right w:w="108" w:type="dxa"/>
            </w:tcMar>
            <w:vAlign w:val="center"/>
          </w:tcPr>
          <w:p>
            <w:pPr>
              <w:rPr>
                <w:rFonts w:hint="eastAsia" w:ascii="微软雅黑" w:hAnsi="微软雅黑" w:eastAsia="微软雅黑" w:cs="微软雅黑"/>
                <w:color w:val="575757"/>
                <w:sz w:val="18"/>
                <w:szCs w:val="18"/>
              </w:rPr>
            </w:pPr>
          </w:p>
        </w:tc>
        <w:tc>
          <w:tcPr>
            <w:tcW w:w="256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其他主要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勘察人员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（6分）</w:t>
            </w:r>
          </w:p>
        </w:tc>
        <w:tc>
          <w:tcPr>
            <w:tcW w:w="10409"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both"/>
              <w:rPr>
                <w:rFonts w:hint="default" w:ascii="Calibri" w:hAnsi="Calibri" w:cs="Calibri"/>
                <w:sz w:val="21"/>
                <w:szCs w:val="21"/>
              </w:rPr>
            </w:pPr>
            <w:r>
              <w:rPr>
                <w:rFonts w:hint="eastAsia" w:ascii="宋体" w:hAnsi="宋体" w:eastAsia="宋体" w:cs="宋体"/>
                <w:color w:val="575757"/>
                <w:sz w:val="24"/>
                <w:szCs w:val="24"/>
                <w:bdr w:val="none" w:color="auto" w:sz="0" w:space="0"/>
              </w:rPr>
              <w:t>配备的勘察现场施工负责人、勘察现场测试负责人、室内试验负责人具有国家注册岩土工程师资格的各得2 分。</w:t>
            </w:r>
          </w:p>
        </w:tc>
        <w:tc>
          <w:tcPr>
            <w:tcW w:w="1408"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both"/>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766" w:hRule="atLeast"/>
          <w:jc w:val="center"/>
        </w:trPr>
        <w:tc>
          <w:tcPr>
            <w:tcW w:w="15720" w:type="dxa"/>
            <w:gridSpan w:val="4"/>
            <w:tcBorders>
              <w:top w:val="nil"/>
              <w:left w:val="single" w:color="000000"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both"/>
              <w:rPr>
                <w:rFonts w:hint="default" w:ascii="Calibri" w:hAnsi="Calibri" w:cs="Calibri"/>
                <w:sz w:val="21"/>
                <w:szCs w:val="21"/>
              </w:rPr>
            </w:pPr>
            <w:r>
              <w:rPr>
                <w:rFonts w:hint="eastAsia" w:ascii="宋体" w:hAnsi="宋体" w:eastAsia="宋体" w:cs="宋体"/>
                <w:color w:val="575757"/>
                <w:sz w:val="24"/>
                <w:szCs w:val="24"/>
                <w:bdr w:val="none" w:color="auto" w:sz="0" w:space="0"/>
              </w:rPr>
              <w:t>注：以上业绩应以合同及中标通知书原件为准，否则不得分。各项均可累计计分，计满为止。</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640"/>
        <w:jc w:val="both"/>
        <w:rPr>
          <w:rFonts w:hint="default" w:ascii="Calibri" w:hAnsi="Calibri" w:cs="Calibri"/>
          <w:sz w:val="21"/>
          <w:szCs w:val="21"/>
        </w:rPr>
      </w:pPr>
      <w:r>
        <w:rPr>
          <w:rFonts w:hint="eastAsia" w:ascii="仿宋" w:hAnsi="仿宋" w:eastAsia="仿宋" w:cs="仿宋"/>
          <w:i w:val="0"/>
          <w:caps w:val="0"/>
          <w:color w:val="000000"/>
          <w:spacing w:val="0"/>
          <w:sz w:val="32"/>
          <w:szCs w:val="32"/>
          <w:bdr w:val="none" w:color="auto" w:sz="0" w:space="0"/>
          <w:shd w:val="clear" w:fill="FFFFFF"/>
        </w:rPr>
        <w:t>5．技术标得分标准（50分）</w:t>
      </w:r>
    </w:p>
    <w:tbl>
      <w:tblPr>
        <w:tblW w:w="1572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015"/>
        <w:gridCol w:w="6069"/>
        <w:gridCol w:w="7346"/>
        <w:gridCol w:w="1290"/>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690" w:hRule="atLeast"/>
        </w:trPr>
        <w:tc>
          <w:tcPr>
            <w:tcW w:w="7084" w:type="dxa"/>
            <w:gridSpan w:val="2"/>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评分项目</w:t>
            </w:r>
          </w:p>
        </w:tc>
        <w:tc>
          <w:tcPr>
            <w:tcW w:w="7346"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评分标准</w:t>
            </w:r>
          </w:p>
        </w:tc>
        <w:tc>
          <w:tcPr>
            <w:tcW w:w="1290"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得分</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990" w:hRule="atLeast"/>
        </w:trPr>
        <w:tc>
          <w:tcPr>
            <w:tcW w:w="1015"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技术标50分</w:t>
            </w:r>
          </w:p>
        </w:tc>
        <w:tc>
          <w:tcPr>
            <w:tcW w:w="6069"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勘察方案编制的依据及编制原则是否正确（2分）</w:t>
            </w:r>
          </w:p>
        </w:tc>
        <w:tc>
          <w:tcPr>
            <w:tcW w:w="734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正确得2分，基本正确得1.0-1.5分,一般正确得0.5分，不正确不得分。</w:t>
            </w:r>
          </w:p>
        </w:tc>
        <w:tc>
          <w:tcPr>
            <w:tcW w:w="129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615" w:hRule="atLeast"/>
        </w:trPr>
        <w:tc>
          <w:tcPr>
            <w:tcW w:w="1015"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微软雅黑" w:hAnsi="微软雅黑" w:eastAsia="微软雅黑" w:cs="微软雅黑"/>
                <w:color w:val="575757"/>
                <w:sz w:val="18"/>
                <w:szCs w:val="18"/>
              </w:rPr>
            </w:pPr>
          </w:p>
        </w:tc>
        <w:tc>
          <w:tcPr>
            <w:tcW w:w="6069"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收集的资料及场地工程地质条件预分析是否可信（3分）</w:t>
            </w:r>
          </w:p>
        </w:tc>
        <w:tc>
          <w:tcPr>
            <w:tcW w:w="734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可信得3分，基本可信得1.0-2.0分,一般可信得0.5分，不可信不得分。</w:t>
            </w:r>
          </w:p>
        </w:tc>
        <w:tc>
          <w:tcPr>
            <w:tcW w:w="129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615" w:hRule="atLeast"/>
        </w:trPr>
        <w:tc>
          <w:tcPr>
            <w:tcW w:w="1015"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微软雅黑" w:hAnsi="微软雅黑" w:eastAsia="微软雅黑" w:cs="微软雅黑"/>
                <w:color w:val="575757"/>
                <w:sz w:val="18"/>
                <w:szCs w:val="18"/>
              </w:rPr>
            </w:pPr>
          </w:p>
        </w:tc>
        <w:tc>
          <w:tcPr>
            <w:tcW w:w="6069"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地基基础方案与分析是否合理（3分）</w:t>
            </w:r>
          </w:p>
        </w:tc>
        <w:tc>
          <w:tcPr>
            <w:tcW w:w="734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合理得3分，基本合理得1.0-2.0分,一般合理得0.5分，不合理不得分。</w:t>
            </w:r>
          </w:p>
        </w:tc>
        <w:tc>
          <w:tcPr>
            <w:tcW w:w="129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720" w:hRule="atLeast"/>
        </w:trPr>
        <w:tc>
          <w:tcPr>
            <w:tcW w:w="1015"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微软雅黑" w:hAnsi="微软雅黑" w:eastAsia="微软雅黑" w:cs="微软雅黑"/>
                <w:color w:val="575757"/>
                <w:sz w:val="18"/>
                <w:szCs w:val="18"/>
              </w:rPr>
            </w:pPr>
          </w:p>
        </w:tc>
        <w:tc>
          <w:tcPr>
            <w:tcW w:w="6069"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勘察的目的及需要解决的技术问题是否有针对性（2分）</w:t>
            </w:r>
          </w:p>
        </w:tc>
        <w:tc>
          <w:tcPr>
            <w:tcW w:w="734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有针对性得2分，基本有针对性得1-1.5分，一般有针对性得0.5分，没有针对性不得分。</w:t>
            </w:r>
          </w:p>
        </w:tc>
        <w:tc>
          <w:tcPr>
            <w:tcW w:w="129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1110" w:hRule="atLeast"/>
        </w:trPr>
        <w:tc>
          <w:tcPr>
            <w:tcW w:w="1015"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微软雅黑" w:hAnsi="微软雅黑" w:eastAsia="微软雅黑" w:cs="微软雅黑"/>
                <w:color w:val="575757"/>
                <w:sz w:val="18"/>
                <w:szCs w:val="18"/>
              </w:rPr>
            </w:pPr>
          </w:p>
        </w:tc>
        <w:tc>
          <w:tcPr>
            <w:tcW w:w="6069"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勘探孔（钻孔、原位测试孔、螺纹孔）平面布置是否合理（10分）</w:t>
            </w:r>
          </w:p>
        </w:tc>
        <w:tc>
          <w:tcPr>
            <w:tcW w:w="734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合理得10分，基本合理得4.0-9.0分,一般合理得1-3分，不合理不得分。</w:t>
            </w:r>
          </w:p>
        </w:tc>
        <w:tc>
          <w:tcPr>
            <w:tcW w:w="129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1110" w:hRule="atLeast"/>
        </w:trPr>
        <w:tc>
          <w:tcPr>
            <w:tcW w:w="1015"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微软雅黑" w:hAnsi="微软雅黑" w:eastAsia="微软雅黑" w:cs="微软雅黑"/>
                <w:color w:val="575757"/>
                <w:sz w:val="18"/>
                <w:szCs w:val="18"/>
              </w:rPr>
            </w:pPr>
          </w:p>
        </w:tc>
        <w:tc>
          <w:tcPr>
            <w:tcW w:w="6069"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勘探孔（钻孔、原位测试孔、螺纹孔）深度布置是否合理（10分）</w:t>
            </w:r>
          </w:p>
        </w:tc>
        <w:tc>
          <w:tcPr>
            <w:tcW w:w="734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合理得10分，基本合理得4.0-9.0分,一般合理得1-3分，不合理不得分。</w:t>
            </w:r>
          </w:p>
        </w:tc>
        <w:tc>
          <w:tcPr>
            <w:tcW w:w="129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1140" w:hRule="atLeast"/>
        </w:trPr>
        <w:tc>
          <w:tcPr>
            <w:tcW w:w="1015"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微软雅黑" w:hAnsi="微软雅黑" w:eastAsia="微软雅黑" w:cs="微软雅黑"/>
                <w:color w:val="575757"/>
                <w:sz w:val="18"/>
                <w:szCs w:val="18"/>
              </w:rPr>
            </w:pPr>
          </w:p>
        </w:tc>
        <w:tc>
          <w:tcPr>
            <w:tcW w:w="6069"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取土、标贯的数量及数量是否恰当（5分）</w:t>
            </w:r>
          </w:p>
        </w:tc>
        <w:tc>
          <w:tcPr>
            <w:tcW w:w="734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恰当得5分，基本恰当得2.0-4.0分,一般恰当得1-1.5分，不恰当不得分。</w:t>
            </w:r>
          </w:p>
        </w:tc>
        <w:tc>
          <w:tcPr>
            <w:tcW w:w="129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1110" w:hRule="atLeast"/>
        </w:trPr>
        <w:tc>
          <w:tcPr>
            <w:tcW w:w="1015"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微软雅黑" w:hAnsi="微软雅黑" w:eastAsia="微软雅黑" w:cs="微软雅黑"/>
                <w:color w:val="575757"/>
                <w:sz w:val="18"/>
                <w:szCs w:val="18"/>
              </w:rPr>
            </w:pPr>
          </w:p>
        </w:tc>
        <w:tc>
          <w:tcPr>
            <w:tcW w:w="6069"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室内土水试验内容及数量是否恰当（5分）</w:t>
            </w:r>
          </w:p>
        </w:tc>
        <w:tc>
          <w:tcPr>
            <w:tcW w:w="734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恰当得5分，基本恰当得2.0-4.0分,一般恰当得1-1.5分，不恰当不得分。</w:t>
            </w:r>
          </w:p>
        </w:tc>
        <w:tc>
          <w:tcPr>
            <w:tcW w:w="129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1110" w:hRule="atLeast"/>
        </w:trPr>
        <w:tc>
          <w:tcPr>
            <w:tcW w:w="1015"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微软雅黑" w:hAnsi="微软雅黑" w:eastAsia="微软雅黑" w:cs="微软雅黑"/>
                <w:color w:val="575757"/>
                <w:sz w:val="18"/>
                <w:szCs w:val="18"/>
              </w:rPr>
            </w:pPr>
          </w:p>
        </w:tc>
        <w:tc>
          <w:tcPr>
            <w:tcW w:w="6069"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拟定的勘察报告书内容和主要的图表是否合理（5分）</w:t>
            </w:r>
          </w:p>
        </w:tc>
        <w:tc>
          <w:tcPr>
            <w:tcW w:w="734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合理得5分，基本合理得2.0-4.0分,一般合理得1-1.5分，不合理不得分。</w:t>
            </w:r>
          </w:p>
        </w:tc>
        <w:tc>
          <w:tcPr>
            <w:tcW w:w="129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480" w:hRule="atLeast"/>
        </w:trPr>
        <w:tc>
          <w:tcPr>
            <w:tcW w:w="1015"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微软雅黑" w:hAnsi="微软雅黑" w:eastAsia="微软雅黑" w:cs="微软雅黑"/>
                <w:color w:val="575757"/>
                <w:sz w:val="18"/>
                <w:szCs w:val="18"/>
              </w:rPr>
            </w:pPr>
          </w:p>
        </w:tc>
        <w:tc>
          <w:tcPr>
            <w:tcW w:w="6069"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质量保证措施是否可行（3分）</w:t>
            </w:r>
          </w:p>
        </w:tc>
        <w:tc>
          <w:tcPr>
            <w:tcW w:w="734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可行得3分，基本可行得1.0-2.0分,一般可行得0.5分，不可行不得分。</w:t>
            </w:r>
          </w:p>
        </w:tc>
        <w:tc>
          <w:tcPr>
            <w:tcW w:w="129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480" w:hRule="atLeast"/>
        </w:trPr>
        <w:tc>
          <w:tcPr>
            <w:tcW w:w="1015"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微软雅黑" w:hAnsi="微软雅黑" w:eastAsia="微软雅黑" w:cs="微软雅黑"/>
                <w:color w:val="575757"/>
                <w:sz w:val="18"/>
                <w:szCs w:val="18"/>
              </w:rPr>
            </w:pPr>
          </w:p>
        </w:tc>
        <w:tc>
          <w:tcPr>
            <w:tcW w:w="6069"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工期安排是否合理（2分）</w:t>
            </w:r>
          </w:p>
        </w:tc>
        <w:tc>
          <w:tcPr>
            <w:tcW w:w="734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rFonts w:hint="default" w:ascii="Calibri" w:hAnsi="Calibri" w:cs="Calibri"/>
                <w:sz w:val="21"/>
                <w:szCs w:val="21"/>
              </w:rPr>
            </w:pPr>
            <w:r>
              <w:rPr>
                <w:rFonts w:hint="eastAsia" w:ascii="宋体" w:hAnsi="宋体" w:eastAsia="宋体" w:cs="宋体"/>
                <w:color w:val="575757"/>
                <w:sz w:val="24"/>
                <w:szCs w:val="24"/>
                <w:bdr w:val="none" w:color="auto" w:sz="0" w:space="0"/>
              </w:rPr>
              <w:t>合理得2分，基本合理得1.0-1.5分,一般合理得0.5分，不合理不得分。</w:t>
            </w:r>
          </w:p>
        </w:tc>
        <w:tc>
          <w:tcPr>
            <w:tcW w:w="129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450" w:hRule="atLeast"/>
        </w:trPr>
        <w:tc>
          <w:tcPr>
            <w:tcW w:w="101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c>
          <w:tcPr>
            <w:tcW w:w="6069"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小计</w:t>
            </w:r>
          </w:p>
        </w:tc>
        <w:tc>
          <w:tcPr>
            <w:tcW w:w="734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c>
          <w:tcPr>
            <w:tcW w:w="1290"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rFonts w:hint="default" w:ascii="Calibri" w:hAnsi="Calibri" w:cs="Calibri"/>
                <w:sz w:val="21"/>
                <w:szCs w:val="21"/>
              </w:rPr>
            </w:pPr>
            <w:r>
              <w:rPr>
                <w:rFonts w:hint="eastAsia" w:ascii="宋体" w:hAnsi="宋体" w:eastAsia="宋体" w:cs="宋体"/>
                <w:color w:val="575757"/>
                <w:sz w:val="24"/>
                <w:szCs w:val="24"/>
                <w:bdr w:val="none" w:color="auto" w:sz="0" w:space="0"/>
              </w:rPr>
              <w:t> </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640"/>
        <w:jc w:val="both"/>
        <w:rPr>
          <w:rFonts w:hint="default" w:ascii="Calibri" w:hAnsi="Calibri" w:cs="Calibri"/>
          <w:sz w:val="21"/>
          <w:szCs w:val="21"/>
        </w:rPr>
      </w:pPr>
      <w:r>
        <w:rPr>
          <w:rFonts w:hint="eastAsia" w:ascii="仿宋" w:hAnsi="仿宋" w:eastAsia="仿宋" w:cs="仿宋"/>
          <w:i w:val="0"/>
          <w:caps w:val="0"/>
          <w:color w:val="000000"/>
          <w:spacing w:val="0"/>
          <w:sz w:val="32"/>
          <w:szCs w:val="32"/>
          <w:bdr w:val="none" w:color="auto" w:sz="0" w:space="0"/>
          <w:shd w:val="clear" w:fill="FFFFFF"/>
        </w:rPr>
        <w:t>在统计投标人得分时，应去掉一个最高分和一个最低分，以算术平均值计入投标人总得分。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640"/>
        <w:jc w:val="both"/>
        <w:rPr>
          <w:rFonts w:hint="default" w:ascii="Calibri" w:hAnsi="Calibri" w:cs="Calibri"/>
          <w:sz w:val="21"/>
          <w:szCs w:val="21"/>
        </w:rPr>
      </w:pPr>
      <w:r>
        <w:rPr>
          <w:rFonts w:hint="eastAsia" w:ascii="黑体" w:hAnsi="宋体" w:eastAsia="黑体" w:cs="黑体"/>
          <w:i w:val="0"/>
          <w:caps w:val="0"/>
          <w:color w:val="000000"/>
          <w:spacing w:val="0"/>
          <w:sz w:val="32"/>
          <w:szCs w:val="32"/>
          <w:bdr w:val="none" w:color="auto" w:sz="0" w:space="0"/>
          <w:shd w:val="clear" w:fill="FFFFFF"/>
        </w:rPr>
        <w:t>第十二条</w:t>
      </w:r>
      <w:r>
        <w:rPr>
          <w:rFonts w:hint="eastAsia" w:ascii="仿宋" w:hAnsi="仿宋" w:eastAsia="仿宋" w:cs="仿宋"/>
          <w:i w:val="0"/>
          <w:caps w:val="0"/>
          <w:color w:val="000000"/>
          <w:spacing w:val="0"/>
          <w:sz w:val="32"/>
          <w:szCs w:val="32"/>
          <w:bdr w:val="none" w:color="auto" w:sz="0" w:space="0"/>
          <w:shd w:val="clear" w:fill="FFFFFF"/>
        </w:rPr>
        <w:t>  在评标过程中，评标委员会可以书面形式要求投标人对所提交的投标文件中不明确的内容进行书面澄清或说明，但不接受投标人主动提出的澄清、说明或补正。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640"/>
        <w:jc w:val="both"/>
        <w:rPr>
          <w:rFonts w:hint="default" w:ascii="Calibri" w:hAnsi="Calibri" w:cs="Calibri"/>
          <w:sz w:val="21"/>
          <w:szCs w:val="21"/>
        </w:rPr>
      </w:pPr>
      <w:r>
        <w:rPr>
          <w:rFonts w:hint="eastAsia" w:ascii="黑体" w:hAnsi="宋体" w:eastAsia="黑体" w:cs="黑体"/>
          <w:i w:val="0"/>
          <w:caps w:val="0"/>
          <w:color w:val="000000"/>
          <w:spacing w:val="0"/>
          <w:sz w:val="32"/>
          <w:szCs w:val="32"/>
          <w:bdr w:val="none" w:color="auto" w:sz="0" w:space="0"/>
          <w:shd w:val="clear" w:fill="FFFFFF"/>
        </w:rPr>
        <w:t>第十三条</w:t>
      </w:r>
      <w:r>
        <w:rPr>
          <w:rFonts w:hint="eastAsia" w:ascii="仿宋" w:hAnsi="仿宋" w:eastAsia="仿宋" w:cs="仿宋"/>
          <w:i w:val="0"/>
          <w:caps w:val="0"/>
          <w:color w:val="000000"/>
          <w:spacing w:val="0"/>
          <w:sz w:val="32"/>
          <w:szCs w:val="32"/>
          <w:bdr w:val="none" w:color="auto" w:sz="0" w:space="0"/>
          <w:shd w:val="clear" w:fill="FFFFFF"/>
        </w:rPr>
        <w:t>  评标委员会对投标人提交的澄清、说明或补正有疑问的，可以要求投标人进一步澄清、说明或补正，以利于评标工作的有序开展。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640"/>
        <w:jc w:val="both"/>
        <w:rPr>
          <w:rFonts w:hint="default" w:ascii="Calibri" w:hAnsi="Calibri" w:cs="Calibri"/>
          <w:sz w:val="21"/>
          <w:szCs w:val="21"/>
        </w:rPr>
      </w:pPr>
      <w:r>
        <w:rPr>
          <w:rFonts w:hint="eastAsia" w:ascii="黑体" w:hAnsi="宋体" w:eastAsia="黑体" w:cs="黑体"/>
          <w:i w:val="0"/>
          <w:caps w:val="0"/>
          <w:color w:val="000000"/>
          <w:spacing w:val="0"/>
          <w:sz w:val="32"/>
          <w:szCs w:val="32"/>
          <w:bdr w:val="none" w:color="auto" w:sz="0" w:space="0"/>
          <w:shd w:val="clear" w:fill="FFFFFF"/>
        </w:rPr>
        <w:t>第十四条</w:t>
      </w:r>
      <w:r>
        <w:rPr>
          <w:rFonts w:hint="eastAsia" w:ascii="仿宋" w:hAnsi="仿宋" w:eastAsia="仿宋" w:cs="仿宋"/>
          <w:i w:val="0"/>
          <w:caps w:val="0"/>
          <w:color w:val="000000"/>
          <w:spacing w:val="0"/>
          <w:sz w:val="32"/>
          <w:szCs w:val="32"/>
          <w:bdr w:val="none" w:color="auto" w:sz="0" w:space="0"/>
          <w:shd w:val="clear" w:fill="FFFFFF"/>
        </w:rPr>
        <w:t>  投标人根据评标委员会的书面要求对投标文件进行澄清或说明的，澄清或者说明不得超出投标文件的范围或者改变投标文件的实质性内容。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640"/>
        <w:jc w:val="both"/>
        <w:rPr>
          <w:rFonts w:hint="default" w:ascii="Calibri" w:hAnsi="Calibri" w:cs="Calibri"/>
          <w:sz w:val="21"/>
          <w:szCs w:val="21"/>
        </w:rPr>
      </w:pPr>
      <w:r>
        <w:rPr>
          <w:rFonts w:hint="eastAsia" w:ascii="黑体" w:hAnsi="宋体" w:eastAsia="黑体" w:cs="黑体"/>
          <w:i w:val="0"/>
          <w:caps w:val="0"/>
          <w:color w:val="000000"/>
          <w:spacing w:val="0"/>
          <w:sz w:val="32"/>
          <w:szCs w:val="32"/>
          <w:bdr w:val="none" w:color="auto" w:sz="0" w:space="0"/>
          <w:shd w:val="clear" w:fill="FFFFFF"/>
        </w:rPr>
        <w:t>第十五条</w:t>
      </w:r>
      <w:r>
        <w:rPr>
          <w:rFonts w:hint="eastAsia" w:ascii="仿宋" w:hAnsi="仿宋" w:eastAsia="仿宋" w:cs="仿宋"/>
          <w:i w:val="0"/>
          <w:caps w:val="0"/>
          <w:color w:val="000000"/>
          <w:spacing w:val="0"/>
          <w:sz w:val="32"/>
          <w:szCs w:val="32"/>
          <w:bdr w:val="none" w:color="auto" w:sz="0" w:space="0"/>
          <w:shd w:val="clear" w:fill="FFFFFF"/>
        </w:rPr>
        <w:t>  在评标过程中，评标委员会发现投标人的报价明显低于其他投标报价，使得其投标报价可能低于其个别成本的，有可能影响质量或者不能诚信履约的，应当要求其在作出书面说明并提供相关证明材料。投标人不能合理说明或者不能提供相关证明材料的，评标委员会应当否决其投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640"/>
        <w:jc w:val="both"/>
        <w:rPr>
          <w:rFonts w:hint="default" w:ascii="Calibri" w:hAnsi="Calibri" w:cs="Calibri"/>
          <w:sz w:val="21"/>
          <w:szCs w:val="21"/>
        </w:rPr>
      </w:pPr>
      <w:r>
        <w:rPr>
          <w:rFonts w:hint="eastAsia" w:ascii="黑体" w:hAnsi="宋体" w:eastAsia="黑体" w:cs="黑体"/>
          <w:i w:val="0"/>
          <w:caps w:val="0"/>
          <w:color w:val="000000"/>
          <w:spacing w:val="0"/>
          <w:sz w:val="32"/>
          <w:szCs w:val="32"/>
          <w:bdr w:val="none" w:color="auto" w:sz="0" w:space="0"/>
          <w:shd w:val="clear" w:fill="FFFFFF"/>
        </w:rPr>
        <w:t>第十六条</w:t>
      </w:r>
      <w:r>
        <w:rPr>
          <w:rFonts w:hint="eastAsia" w:ascii="仿宋" w:hAnsi="仿宋" w:eastAsia="仿宋" w:cs="仿宋"/>
          <w:i w:val="0"/>
          <w:caps w:val="0"/>
          <w:color w:val="000000"/>
          <w:spacing w:val="0"/>
          <w:sz w:val="32"/>
          <w:szCs w:val="32"/>
          <w:bdr w:val="none" w:color="auto" w:sz="0" w:space="0"/>
          <w:shd w:val="clear" w:fill="FFFFFF"/>
        </w:rPr>
        <w:t>  评标委员会完成投标人综合分值计算统计后，应将投标人按得分高低排序。若投标人得分相等时，按低报价优先的原则排序。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640"/>
        <w:jc w:val="both"/>
        <w:rPr>
          <w:rFonts w:hint="default" w:ascii="Calibri" w:hAnsi="Calibri" w:cs="Calibri"/>
          <w:sz w:val="21"/>
          <w:szCs w:val="21"/>
        </w:rPr>
      </w:pPr>
      <w:r>
        <w:rPr>
          <w:rFonts w:hint="eastAsia" w:ascii="黑体" w:hAnsi="宋体" w:eastAsia="黑体" w:cs="黑体"/>
          <w:i w:val="0"/>
          <w:caps w:val="0"/>
          <w:color w:val="000000"/>
          <w:spacing w:val="0"/>
          <w:sz w:val="32"/>
          <w:szCs w:val="32"/>
          <w:bdr w:val="none" w:color="auto" w:sz="0" w:space="0"/>
          <w:shd w:val="clear" w:fill="FFFFFF"/>
        </w:rPr>
        <w:t>第十七条</w:t>
      </w:r>
      <w:r>
        <w:rPr>
          <w:rFonts w:hint="eastAsia" w:ascii="仿宋" w:hAnsi="仿宋" w:eastAsia="仿宋" w:cs="仿宋"/>
          <w:i w:val="0"/>
          <w:caps w:val="0"/>
          <w:color w:val="000000"/>
          <w:spacing w:val="0"/>
          <w:sz w:val="32"/>
          <w:szCs w:val="32"/>
          <w:bdr w:val="none" w:color="auto" w:sz="0" w:space="0"/>
          <w:shd w:val="clear" w:fill="FFFFFF"/>
        </w:rPr>
        <w:t>  评标委员会完成评标后，应当向招标人提出书面评标报告。评标委员会全体成员应当在评标报告上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640"/>
        <w:jc w:val="both"/>
        <w:rPr>
          <w:rFonts w:hint="default" w:ascii="Calibri" w:hAnsi="Calibri" w:cs="Calibri"/>
          <w:sz w:val="21"/>
          <w:szCs w:val="21"/>
        </w:rPr>
      </w:pPr>
      <w:r>
        <w:rPr>
          <w:rFonts w:hint="eastAsia" w:ascii="黑体" w:hAnsi="宋体" w:eastAsia="黑体" w:cs="黑体"/>
          <w:i w:val="0"/>
          <w:caps w:val="0"/>
          <w:color w:val="000000"/>
          <w:spacing w:val="0"/>
          <w:sz w:val="32"/>
          <w:szCs w:val="32"/>
          <w:bdr w:val="none" w:color="auto" w:sz="0" w:space="0"/>
          <w:shd w:val="clear" w:fill="FFFFFF"/>
        </w:rPr>
        <w:t>第十八条</w:t>
      </w:r>
      <w:r>
        <w:rPr>
          <w:rFonts w:hint="eastAsia" w:ascii="仿宋" w:hAnsi="仿宋" w:eastAsia="仿宋" w:cs="仿宋"/>
          <w:i w:val="0"/>
          <w:caps w:val="0"/>
          <w:color w:val="000000"/>
          <w:spacing w:val="0"/>
          <w:sz w:val="32"/>
          <w:szCs w:val="32"/>
          <w:bdr w:val="none" w:color="auto" w:sz="0" w:space="0"/>
          <w:shd w:val="clear" w:fill="FFFFFF"/>
        </w:rPr>
        <w:t>  招标人可授权评标委员会确定中标人，也可采用评定分离方法确定中标人。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640"/>
        <w:jc w:val="both"/>
        <w:rPr>
          <w:rFonts w:hint="default" w:ascii="Calibri" w:hAnsi="Calibri" w:cs="Calibri"/>
          <w:sz w:val="21"/>
          <w:szCs w:val="21"/>
        </w:rPr>
      </w:pPr>
      <w:r>
        <w:rPr>
          <w:rFonts w:hint="eastAsia" w:ascii="仿宋" w:hAnsi="仿宋" w:eastAsia="仿宋" w:cs="仿宋"/>
          <w:i w:val="0"/>
          <w:caps w:val="0"/>
          <w:color w:val="000000"/>
          <w:spacing w:val="0"/>
          <w:sz w:val="32"/>
          <w:szCs w:val="32"/>
          <w:bdr w:val="none" w:color="auto" w:sz="0" w:space="0"/>
          <w:shd w:val="clear" w:fill="FFFFFF"/>
        </w:rPr>
        <w:t>招标文件中明确招标人授权评标委员会确定中标人时，评标委员会必须按照中标候选人得分顺序，选择得分排名第一的中标候选人为中标人。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640"/>
        <w:jc w:val="both"/>
        <w:rPr>
          <w:rFonts w:hint="default" w:ascii="Calibri" w:hAnsi="Calibri" w:cs="Calibri"/>
          <w:sz w:val="21"/>
          <w:szCs w:val="21"/>
        </w:rPr>
      </w:pPr>
      <w:r>
        <w:rPr>
          <w:rFonts w:hint="eastAsia" w:ascii="仿宋" w:hAnsi="仿宋" w:eastAsia="仿宋" w:cs="仿宋"/>
          <w:i w:val="0"/>
          <w:caps w:val="0"/>
          <w:color w:val="000000"/>
          <w:spacing w:val="0"/>
          <w:sz w:val="32"/>
          <w:szCs w:val="32"/>
          <w:bdr w:val="none" w:color="auto" w:sz="0" w:space="0"/>
          <w:shd w:val="clear" w:fill="FFFFFF"/>
        </w:rPr>
        <w:t>招标文件中明确采用评定分离方法确定中标人的，评标委员会按投标人得分顺序向招标人推荐前3名为中标候选人，被推荐的候选人排名不分先后。由招标人按照工程勘察项目的需要，择优确定中标人。招标人不得将投标人所在地域、所有制形式、资质等级作为确定中标人的前置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640"/>
        <w:jc w:val="both"/>
        <w:rPr>
          <w:rFonts w:hint="default" w:ascii="Calibri" w:hAnsi="Calibri" w:cs="Calibri"/>
          <w:sz w:val="21"/>
          <w:szCs w:val="21"/>
        </w:rPr>
      </w:pPr>
      <w:r>
        <w:rPr>
          <w:rFonts w:hint="eastAsia" w:ascii="黑体" w:hAnsi="宋体" w:eastAsia="黑体" w:cs="黑体"/>
          <w:i w:val="0"/>
          <w:caps w:val="0"/>
          <w:color w:val="000000"/>
          <w:spacing w:val="0"/>
          <w:sz w:val="32"/>
          <w:szCs w:val="32"/>
          <w:bdr w:val="none" w:color="auto" w:sz="0" w:space="0"/>
          <w:shd w:val="clear" w:fill="FFFFFF"/>
        </w:rPr>
        <w:t>第十九条</w:t>
      </w:r>
      <w:r>
        <w:rPr>
          <w:rFonts w:hint="eastAsia" w:ascii="仿宋" w:hAnsi="仿宋" w:eastAsia="仿宋" w:cs="仿宋"/>
          <w:i w:val="0"/>
          <w:caps w:val="0"/>
          <w:color w:val="000000"/>
          <w:spacing w:val="0"/>
          <w:sz w:val="32"/>
          <w:szCs w:val="32"/>
          <w:bdr w:val="none" w:color="auto" w:sz="0" w:space="0"/>
          <w:shd w:val="clear" w:fill="FFFFFF"/>
        </w:rPr>
        <w:t>  本办法自2021年8月13日起施行，有效期2年。</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7D24EB"/>
    <w:rsid w:val="3A7D24EB"/>
    <w:rsid w:val="55B856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2023-07-14T15:08:00Z</dcterms:created>
  <dc:creator>Administrator</dc:creator>
  <cp:lastModifiedBy>Administrator</cp:lastModifiedBy>
  <dcterms:modified xsi:type="dcterms:W3CDTF">2023-07-14T15:09:08Z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